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adjustRightInd w:val="0"/>
        <w:snapToGrid w:val="0"/>
        <w:spacing w:after="0"/>
        <w:jc w:val="both"/>
        <w:rPr>
          <w:rFonts w:hint="eastAsia" w:ascii="方正小标宋_GBK" w:hAnsi="Times New Roman" w:eastAsia="方正小标宋_GBK" w:cs="Times New Roman"/>
          <w:kern w:val="0"/>
          <w:sz w:val="48"/>
          <w:szCs w:val="48"/>
        </w:rPr>
      </w:pPr>
      <w:bookmarkStart w:id="0" w:name="_Hlk50019893"/>
    </w:p>
    <w:p>
      <w:pPr>
        <w:widowControl/>
        <w:adjustRightInd w:val="0"/>
        <w:snapToGrid w:val="0"/>
        <w:spacing w:after="0"/>
        <w:jc w:val="both"/>
        <w:rPr>
          <w:rFonts w:hint="eastAsia" w:ascii="方正小标宋_GBK" w:hAnsi="Times New Roman" w:eastAsia="方正小标宋_GBK" w:cs="Times New Roman"/>
          <w:kern w:val="0"/>
          <w:sz w:val="48"/>
          <w:szCs w:val="48"/>
        </w:rPr>
      </w:pPr>
    </w:p>
    <w:p>
      <w:pPr>
        <w:widowControl/>
        <w:adjustRightInd w:val="0"/>
        <w:snapToGrid w:val="0"/>
        <w:spacing w:after="0"/>
        <w:jc w:val="both"/>
        <w:rPr>
          <w:rFonts w:hint="eastAsia" w:ascii="方正小标宋_GBK" w:hAnsi="Times New Roman" w:eastAsia="方正小标宋_GBK" w:cs="Times New Roman"/>
          <w:kern w:val="0"/>
          <w:sz w:val="48"/>
          <w:szCs w:val="48"/>
        </w:rPr>
      </w:pPr>
    </w:p>
    <w:p>
      <w:pPr>
        <w:widowControl/>
        <w:adjustRightInd w:val="0"/>
        <w:snapToGrid w:val="0"/>
        <w:spacing w:after="0"/>
        <w:jc w:val="both"/>
        <w:rPr>
          <w:rFonts w:hint="eastAsia" w:ascii="方正小标宋_GBK" w:hAnsi="Times New Roman" w:eastAsia="方正小标宋_GBK" w:cs="Times New Roman"/>
          <w:kern w:val="0"/>
          <w:sz w:val="48"/>
          <w:szCs w:val="48"/>
        </w:rPr>
      </w:pPr>
    </w:p>
    <w:p>
      <w:pPr>
        <w:widowControl/>
        <w:adjustRightInd w:val="0"/>
        <w:snapToGrid w:val="0"/>
        <w:spacing w:after="0"/>
        <w:jc w:val="center"/>
        <w:rPr>
          <w:rFonts w:hint="eastAsia" w:ascii="方正小标宋_GBK" w:hAnsi="Times New Roman" w:eastAsia="方正小标宋_GBK" w:cs="Times New Roman"/>
          <w:kern w:val="0"/>
          <w:sz w:val="48"/>
          <w:szCs w:val="48"/>
        </w:rPr>
      </w:pPr>
      <w:r>
        <w:rPr>
          <w:rFonts w:hint="eastAsia" w:ascii="方正小标宋_GBK" w:hAnsi="Times New Roman" w:eastAsia="方正小标宋_GBK" w:cs="Times New Roman"/>
          <w:kern w:val="0"/>
          <w:sz w:val="48"/>
          <w:szCs w:val="48"/>
        </w:rPr>
        <w:t>西藏自治区</w:t>
      </w:r>
      <w:r>
        <w:rPr>
          <w:rFonts w:hint="eastAsia" w:ascii="方正小标宋_GBK" w:eastAsia="方正小标宋_GBK" w:cs="Times New Roman"/>
          <w:kern w:val="0"/>
          <w:sz w:val="48"/>
          <w:szCs w:val="48"/>
          <w:lang w:eastAsia="zh-CN"/>
        </w:rPr>
        <w:t>盐业</w:t>
      </w:r>
      <w:r>
        <w:rPr>
          <w:rFonts w:hint="eastAsia" w:ascii="方正小标宋_GBK" w:hAnsi="Times New Roman" w:eastAsia="方正小标宋_GBK" w:cs="Times New Roman"/>
          <w:kern w:val="0"/>
          <w:sz w:val="48"/>
          <w:szCs w:val="48"/>
        </w:rPr>
        <w:t>行政处罚</w:t>
      </w:r>
    </w:p>
    <w:p>
      <w:pPr>
        <w:widowControl/>
        <w:adjustRightInd w:val="0"/>
        <w:snapToGrid w:val="0"/>
        <w:spacing w:after="0"/>
        <w:jc w:val="center"/>
        <w:rPr>
          <w:rFonts w:ascii="方正小标宋_GBK" w:hAnsi="Times New Roman" w:eastAsia="方正小标宋_GBK" w:cs="Times New Roman"/>
          <w:kern w:val="0"/>
          <w:sz w:val="48"/>
          <w:szCs w:val="48"/>
        </w:rPr>
      </w:pPr>
      <w:r>
        <w:rPr>
          <w:rFonts w:hint="eastAsia" w:ascii="方正小标宋_GBK" w:hAnsi="Times New Roman" w:eastAsia="方正小标宋_GBK" w:cs="Times New Roman"/>
          <w:kern w:val="0"/>
          <w:sz w:val="48"/>
          <w:szCs w:val="48"/>
        </w:rPr>
        <w:t>裁量</w:t>
      </w:r>
      <w:r>
        <w:rPr>
          <w:rFonts w:hint="eastAsia" w:ascii="方正小标宋_GBK" w:eastAsia="方正小标宋_GBK" w:cs="Times New Roman"/>
          <w:kern w:val="0"/>
          <w:sz w:val="48"/>
          <w:szCs w:val="48"/>
          <w:lang w:eastAsia="zh-CN"/>
        </w:rPr>
        <w:t>权</w:t>
      </w:r>
      <w:r>
        <w:rPr>
          <w:rFonts w:hint="eastAsia" w:ascii="方正小标宋_GBK" w:hAnsi="Times New Roman" w:eastAsia="方正小标宋_GBK" w:cs="Times New Roman"/>
          <w:kern w:val="0"/>
          <w:sz w:val="48"/>
          <w:szCs w:val="48"/>
        </w:rPr>
        <w:t>基准制度</w:t>
      </w:r>
    </w:p>
    <w:p>
      <w:pPr>
        <w:widowControl/>
        <w:adjustRightInd w:val="0"/>
        <w:snapToGrid w:val="0"/>
        <w:spacing w:after="0"/>
        <w:jc w:val="center"/>
        <w:rPr>
          <w:rFonts w:ascii="Times New Roman" w:hAnsi="Times New Roman" w:eastAsia="方正小标宋简体" w:cs="Times New Roman"/>
          <w:kern w:val="0"/>
          <w:sz w:val="36"/>
          <w:szCs w:val="36"/>
        </w:rPr>
      </w:pPr>
    </w:p>
    <w:p>
      <w:pPr>
        <w:widowControl/>
        <w:adjustRightInd w:val="0"/>
        <w:snapToGrid w:val="0"/>
        <w:spacing w:after="0"/>
        <w:jc w:val="center"/>
        <w:rPr>
          <w:rFonts w:ascii="Times New Roman" w:hAnsi="Times New Roman" w:eastAsia="方正小标宋简体" w:cs="Times New Roman"/>
          <w:kern w:val="0"/>
          <w:sz w:val="36"/>
          <w:szCs w:val="36"/>
        </w:rPr>
      </w:pPr>
    </w:p>
    <w:p>
      <w:pPr>
        <w:widowControl/>
        <w:adjustRightInd w:val="0"/>
        <w:snapToGrid w:val="0"/>
        <w:spacing w:after="0"/>
        <w:jc w:val="center"/>
        <w:rPr>
          <w:rFonts w:ascii="Times New Roman" w:hAnsi="Times New Roman" w:eastAsia="方正小标宋简体" w:cs="Times New Roman"/>
          <w:kern w:val="0"/>
          <w:sz w:val="36"/>
          <w:szCs w:val="36"/>
        </w:rPr>
      </w:pPr>
    </w:p>
    <w:p>
      <w:pPr>
        <w:widowControl/>
        <w:adjustRightInd w:val="0"/>
        <w:snapToGrid w:val="0"/>
        <w:spacing w:after="0"/>
        <w:jc w:val="center"/>
        <w:rPr>
          <w:rFonts w:ascii="Times New Roman" w:hAnsi="Times New Roman" w:eastAsia="方正小标宋简体" w:cs="Times New Roman"/>
          <w:kern w:val="0"/>
          <w:sz w:val="36"/>
          <w:szCs w:val="36"/>
        </w:rPr>
      </w:pPr>
    </w:p>
    <w:p>
      <w:pPr>
        <w:widowControl/>
        <w:adjustRightInd w:val="0"/>
        <w:snapToGrid w:val="0"/>
        <w:spacing w:after="0"/>
        <w:jc w:val="center"/>
        <w:rPr>
          <w:rFonts w:ascii="Times New Roman" w:hAnsi="Times New Roman" w:eastAsia="方正小标宋简体" w:cs="Times New Roman"/>
          <w:kern w:val="0"/>
          <w:sz w:val="36"/>
          <w:szCs w:val="36"/>
        </w:rPr>
      </w:pPr>
    </w:p>
    <w:p>
      <w:pPr>
        <w:widowControl/>
        <w:adjustRightInd w:val="0"/>
        <w:snapToGrid w:val="0"/>
        <w:spacing w:after="0"/>
        <w:jc w:val="center"/>
        <w:rPr>
          <w:rFonts w:ascii="Times New Roman" w:hAnsi="Times New Roman" w:eastAsia="方正小标宋简体" w:cs="Times New Roman"/>
          <w:kern w:val="0"/>
          <w:sz w:val="36"/>
          <w:szCs w:val="36"/>
        </w:rPr>
      </w:pPr>
    </w:p>
    <w:p>
      <w:pPr>
        <w:widowControl/>
        <w:adjustRightInd w:val="0"/>
        <w:snapToGrid w:val="0"/>
        <w:spacing w:after="0"/>
        <w:jc w:val="center"/>
        <w:rPr>
          <w:rFonts w:ascii="Times New Roman" w:hAnsi="Times New Roman" w:eastAsia="方正小标宋简体" w:cs="Times New Roman"/>
          <w:kern w:val="0"/>
          <w:sz w:val="36"/>
          <w:szCs w:val="36"/>
        </w:rPr>
      </w:pPr>
    </w:p>
    <w:p>
      <w:pPr>
        <w:widowControl/>
        <w:adjustRightInd w:val="0"/>
        <w:snapToGrid w:val="0"/>
        <w:spacing w:after="0"/>
        <w:jc w:val="center"/>
        <w:rPr>
          <w:rFonts w:ascii="Times New Roman" w:hAnsi="Times New Roman" w:eastAsia="方正小标宋简体" w:cs="Times New Roman"/>
          <w:kern w:val="0"/>
          <w:sz w:val="36"/>
          <w:szCs w:val="36"/>
        </w:rPr>
      </w:pPr>
    </w:p>
    <w:p>
      <w:pPr>
        <w:widowControl/>
        <w:adjustRightInd w:val="0"/>
        <w:snapToGrid w:val="0"/>
        <w:spacing w:after="0"/>
        <w:jc w:val="center"/>
        <w:rPr>
          <w:rFonts w:ascii="Times New Roman" w:hAnsi="Times New Roman" w:eastAsia="方正小标宋简体" w:cs="Times New Roman"/>
          <w:kern w:val="0"/>
          <w:sz w:val="36"/>
          <w:szCs w:val="36"/>
        </w:rPr>
      </w:pPr>
    </w:p>
    <w:p>
      <w:pPr>
        <w:widowControl/>
        <w:adjustRightInd w:val="0"/>
        <w:snapToGrid w:val="0"/>
        <w:spacing w:after="0"/>
        <w:jc w:val="center"/>
        <w:rPr>
          <w:rFonts w:ascii="Times New Roman" w:hAnsi="Times New Roman" w:eastAsia="方正小标宋简体" w:cs="Times New Roman"/>
          <w:kern w:val="0"/>
          <w:sz w:val="36"/>
          <w:szCs w:val="36"/>
        </w:rPr>
      </w:pPr>
    </w:p>
    <w:p>
      <w:pPr>
        <w:widowControl/>
        <w:adjustRightInd w:val="0"/>
        <w:snapToGrid w:val="0"/>
        <w:spacing w:after="0"/>
        <w:jc w:val="center"/>
        <w:rPr>
          <w:rFonts w:ascii="Times New Roman" w:hAnsi="Times New Roman" w:eastAsia="方正小标宋简体" w:cs="Times New Roman"/>
          <w:kern w:val="0"/>
          <w:sz w:val="36"/>
          <w:szCs w:val="36"/>
        </w:rPr>
      </w:pPr>
    </w:p>
    <w:p>
      <w:pPr>
        <w:widowControl/>
        <w:adjustRightInd w:val="0"/>
        <w:snapToGrid w:val="0"/>
        <w:spacing w:after="0"/>
        <w:jc w:val="center"/>
        <w:rPr>
          <w:rFonts w:ascii="Times New Roman" w:hAnsi="Times New Roman" w:eastAsia="方正小标宋简体" w:cs="Times New Roman"/>
          <w:kern w:val="0"/>
          <w:sz w:val="36"/>
          <w:szCs w:val="36"/>
        </w:rPr>
      </w:pPr>
    </w:p>
    <w:p>
      <w:pPr>
        <w:widowControl/>
        <w:adjustRightInd w:val="0"/>
        <w:snapToGrid w:val="0"/>
        <w:spacing w:after="0"/>
        <w:jc w:val="center"/>
        <w:rPr>
          <w:rFonts w:ascii="Times New Roman" w:hAnsi="Times New Roman" w:eastAsia="方正小标宋简体" w:cs="Times New Roman"/>
          <w:kern w:val="0"/>
          <w:sz w:val="36"/>
          <w:szCs w:val="36"/>
        </w:rPr>
      </w:pPr>
    </w:p>
    <w:p>
      <w:pPr>
        <w:widowControl/>
        <w:adjustRightInd w:val="0"/>
        <w:snapToGrid w:val="0"/>
        <w:spacing w:after="0"/>
        <w:jc w:val="center"/>
        <w:rPr>
          <w:rFonts w:ascii="Times New Roman" w:hAnsi="Times New Roman" w:eastAsia="方正小标宋简体" w:cs="Times New Roman"/>
          <w:kern w:val="0"/>
          <w:sz w:val="36"/>
          <w:szCs w:val="36"/>
        </w:rPr>
      </w:pPr>
    </w:p>
    <w:p>
      <w:pPr>
        <w:widowControl/>
        <w:adjustRightInd w:val="0"/>
        <w:snapToGrid w:val="0"/>
        <w:spacing w:after="0"/>
        <w:jc w:val="center"/>
        <w:rPr>
          <w:rFonts w:ascii="Times New Roman" w:hAnsi="Times New Roman" w:eastAsia="方正小标宋简体" w:cs="Times New Roman"/>
          <w:kern w:val="0"/>
          <w:sz w:val="36"/>
          <w:szCs w:val="36"/>
        </w:rPr>
      </w:pPr>
    </w:p>
    <w:p>
      <w:pPr>
        <w:widowControl/>
        <w:adjustRightInd w:val="0"/>
        <w:snapToGrid w:val="0"/>
        <w:spacing w:after="0" w:line="520" w:lineRule="exact"/>
        <w:jc w:val="center"/>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rPr>
        <w:t>西藏自治区经济和信息化厅</w:t>
      </w:r>
    </w:p>
    <w:p>
      <w:pPr>
        <w:widowControl/>
        <w:adjustRightInd w:val="0"/>
        <w:snapToGrid w:val="0"/>
        <w:spacing w:after="0"/>
        <w:jc w:val="center"/>
        <w:rPr>
          <w:rFonts w:ascii="Times New Roman" w:hAnsi="Times New Roman" w:eastAsia="楷体_GB2312" w:cs="Times New Roman"/>
          <w:kern w:val="0"/>
          <w:sz w:val="32"/>
          <w:szCs w:val="32"/>
        </w:rPr>
      </w:pPr>
      <w:r>
        <w:rPr>
          <w:rFonts w:ascii="Times New Roman" w:hAnsi="Times New Roman" w:eastAsia="楷体_GB2312" w:cs="Times New Roman"/>
          <w:kern w:val="0"/>
          <w:sz w:val="32"/>
          <w:szCs w:val="32"/>
        </w:rPr>
        <w:t>20</w:t>
      </w:r>
      <w:r>
        <w:rPr>
          <w:rFonts w:hint="eastAsia" w:ascii="Times New Roman" w:hAnsi="Times New Roman" w:eastAsia="楷体_GB2312" w:cs="Times New Roman"/>
          <w:kern w:val="0"/>
          <w:sz w:val="32"/>
          <w:szCs w:val="32"/>
        </w:rPr>
        <w:t>23</w:t>
      </w:r>
      <w:r>
        <w:rPr>
          <w:rFonts w:ascii="Times New Roman" w:hAnsi="Times New Roman" w:eastAsia="楷体_GB2312" w:cs="Times New Roman"/>
          <w:kern w:val="0"/>
          <w:sz w:val="32"/>
          <w:szCs w:val="32"/>
        </w:rPr>
        <w:t>年</w:t>
      </w:r>
      <w:r>
        <w:rPr>
          <w:rFonts w:hint="eastAsia" w:eastAsia="楷体_GB2312" w:cs="Times New Roman"/>
          <w:kern w:val="0"/>
          <w:sz w:val="32"/>
          <w:szCs w:val="32"/>
          <w:lang w:val="en-US" w:eastAsia="zh-CN"/>
        </w:rPr>
        <w:t>12</w:t>
      </w:r>
      <w:r>
        <w:rPr>
          <w:rFonts w:ascii="Times New Roman" w:hAnsi="Times New Roman" w:eastAsia="楷体_GB2312" w:cs="Times New Roman"/>
          <w:kern w:val="0"/>
          <w:sz w:val="32"/>
          <w:szCs w:val="32"/>
        </w:rPr>
        <w:t>月</w:t>
      </w:r>
    </w:p>
    <w:p>
      <w:pPr>
        <w:spacing w:after="0"/>
        <w:jc w:val="center"/>
        <w:rPr>
          <w:rFonts w:ascii="Times New Roman" w:hAnsi="Times New Roman" w:eastAsia="方正小标宋简体"/>
          <w:sz w:val="36"/>
          <w:szCs w:val="36"/>
        </w:rPr>
        <w:sectPr>
          <w:headerReference r:id="rId3" w:type="first"/>
          <w:footerReference r:id="rId5" w:type="first"/>
          <w:footerReference r:id="rId4" w:type="default"/>
          <w:pgSz w:w="11906" w:h="16838"/>
          <w:pgMar w:top="1440" w:right="1800" w:bottom="1440" w:left="1800" w:header="708" w:footer="708" w:gutter="0"/>
          <w:pgNumType w:fmt="decimal" w:start="2"/>
          <w:cols w:space="708" w:num="1"/>
          <w:titlePg/>
          <w:docGrid w:linePitch="360" w:charSpace="0"/>
        </w:sectPr>
      </w:pPr>
    </w:p>
    <w:p>
      <w:pPr>
        <w:widowControl/>
        <w:adjustRightInd w:val="0"/>
        <w:snapToGrid w:val="0"/>
        <w:spacing w:after="0"/>
        <w:jc w:val="both"/>
        <w:rPr>
          <w:rFonts w:hint="eastAsia" w:ascii="方正小标宋_GBK" w:hAnsi="Times New Roman" w:eastAsia="方正小标宋_GBK" w:cs="Times New Roman"/>
          <w:kern w:val="0"/>
          <w:sz w:val="36"/>
          <w:szCs w:val="36"/>
        </w:rPr>
      </w:pPr>
    </w:p>
    <w:p>
      <w:pPr>
        <w:widowControl/>
        <w:adjustRightInd w:val="0"/>
        <w:snapToGrid w:val="0"/>
        <w:spacing w:after="0"/>
        <w:jc w:val="center"/>
        <w:rPr>
          <w:rFonts w:hint="eastAsia" w:ascii="方正小标宋_GBK" w:hAnsi="Times New Roman" w:eastAsia="方正小标宋_GBK" w:cs="Times New Roman"/>
          <w:kern w:val="0"/>
          <w:sz w:val="44"/>
          <w:szCs w:val="44"/>
        </w:rPr>
      </w:pPr>
      <w:r>
        <w:rPr>
          <w:rFonts w:hint="eastAsia" w:ascii="方正小标宋_GBK" w:hAnsi="Times New Roman" w:eastAsia="方正小标宋_GBK" w:cs="Times New Roman"/>
          <w:kern w:val="0"/>
          <w:sz w:val="44"/>
          <w:szCs w:val="44"/>
        </w:rPr>
        <w:t>西藏自治区</w:t>
      </w:r>
      <w:r>
        <w:rPr>
          <w:rFonts w:hint="eastAsia" w:ascii="方正小标宋_GBK" w:eastAsia="方正小标宋_GBK" w:cs="Times New Roman"/>
          <w:kern w:val="0"/>
          <w:sz w:val="44"/>
          <w:szCs w:val="44"/>
          <w:lang w:eastAsia="zh-CN"/>
        </w:rPr>
        <w:t>盐业</w:t>
      </w:r>
      <w:r>
        <w:rPr>
          <w:rFonts w:hint="eastAsia" w:ascii="方正小标宋_GBK" w:hAnsi="Times New Roman" w:eastAsia="方正小标宋_GBK" w:cs="Times New Roman"/>
          <w:kern w:val="0"/>
          <w:sz w:val="44"/>
          <w:szCs w:val="44"/>
        </w:rPr>
        <w:t>行政处罚</w:t>
      </w:r>
    </w:p>
    <w:p>
      <w:pPr>
        <w:widowControl/>
        <w:adjustRightInd w:val="0"/>
        <w:snapToGrid w:val="0"/>
        <w:spacing w:after="0"/>
        <w:jc w:val="center"/>
        <w:rPr>
          <w:rFonts w:ascii="方正小标宋_GBK" w:hAnsi="Times New Roman" w:eastAsia="方正小标宋_GBK" w:cs="Times New Roman"/>
          <w:kern w:val="0"/>
          <w:sz w:val="44"/>
          <w:szCs w:val="44"/>
        </w:rPr>
      </w:pPr>
      <w:r>
        <w:rPr>
          <w:rFonts w:hint="eastAsia" w:ascii="方正小标宋_GBK" w:hAnsi="Times New Roman" w:eastAsia="方正小标宋_GBK" w:cs="Times New Roman"/>
          <w:kern w:val="0"/>
          <w:sz w:val="44"/>
          <w:szCs w:val="44"/>
        </w:rPr>
        <w:t>裁量</w:t>
      </w:r>
      <w:r>
        <w:rPr>
          <w:rFonts w:hint="eastAsia" w:ascii="方正小标宋_GBK" w:eastAsia="方正小标宋_GBK" w:cs="Times New Roman"/>
          <w:kern w:val="0"/>
          <w:sz w:val="44"/>
          <w:szCs w:val="44"/>
          <w:lang w:eastAsia="zh-CN"/>
        </w:rPr>
        <w:t>权</w:t>
      </w:r>
      <w:bookmarkStart w:id="1" w:name="_GoBack"/>
      <w:bookmarkEnd w:id="1"/>
      <w:r>
        <w:rPr>
          <w:rFonts w:hint="eastAsia" w:ascii="方正小标宋_GBK" w:hAnsi="Times New Roman" w:eastAsia="方正小标宋_GBK" w:cs="Times New Roman"/>
          <w:kern w:val="0"/>
          <w:sz w:val="44"/>
          <w:szCs w:val="44"/>
        </w:rPr>
        <w:t>基准制度</w:t>
      </w:r>
    </w:p>
    <w:p>
      <w:pPr>
        <w:widowControl/>
        <w:adjustRightInd w:val="0"/>
        <w:snapToGrid w:val="0"/>
        <w:spacing w:after="0"/>
        <w:jc w:val="center"/>
        <w:rPr>
          <w:rFonts w:ascii="Times New Roman" w:hAnsi="Times New Roman" w:eastAsia="方正小标宋简体" w:cs="Times New Roman"/>
          <w:kern w:val="0"/>
          <w:sz w:val="36"/>
          <w:szCs w:val="36"/>
        </w:rPr>
      </w:pP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第一条（目的依据） 为进一步提高自治区</w:t>
      </w:r>
      <w:r>
        <w:rPr>
          <w:rFonts w:hint="eastAsia" w:ascii="仿宋_GB2312" w:hAnsi="仿宋_GB2312" w:eastAsia="仿宋_GB2312" w:cs="仿宋_GB2312"/>
          <w:kern w:val="0"/>
          <w:sz w:val="32"/>
          <w:szCs w:val="32"/>
          <w:lang w:eastAsia="zh-CN"/>
        </w:rPr>
        <w:t>盐业</w:t>
      </w:r>
      <w:r>
        <w:rPr>
          <w:rFonts w:hint="eastAsia" w:ascii="仿宋_GB2312" w:hAnsi="仿宋_GB2312" w:eastAsia="仿宋_GB2312" w:cs="仿宋_GB2312"/>
          <w:kern w:val="0"/>
          <w:sz w:val="32"/>
          <w:szCs w:val="32"/>
        </w:rPr>
        <w:t>行政执法质量，规范行政处罚自由裁量权，依法实施行政处罚，确保行政处罚的公正、公开、合理，根据《中华人民共和国安全生产法》《中华人民共和国行政处罚法》《</w:t>
      </w:r>
      <w:r>
        <w:rPr>
          <w:rFonts w:hint="eastAsia" w:ascii="仿宋_GB2312" w:hAnsi="仿宋_GB2312" w:eastAsia="仿宋_GB2312" w:cs="仿宋_GB2312"/>
          <w:kern w:val="0"/>
          <w:sz w:val="32"/>
          <w:szCs w:val="32"/>
          <w:lang w:eastAsia="zh-CN"/>
        </w:rPr>
        <w:t>食盐专营办法</w:t>
      </w:r>
      <w:r>
        <w:rPr>
          <w:rFonts w:hint="eastAsia" w:ascii="仿宋_GB2312" w:hAnsi="仿宋_GB2312" w:eastAsia="仿宋_GB2312" w:cs="仿宋_GB2312"/>
          <w:kern w:val="0"/>
          <w:sz w:val="32"/>
          <w:szCs w:val="32"/>
        </w:rPr>
        <w:t>》以及其他法律、法规、规章的规定，结合自治区</w:t>
      </w:r>
      <w:r>
        <w:rPr>
          <w:rFonts w:hint="eastAsia" w:ascii="仿宋_GB2312" w:hAnsi="仿宋_GB2312" w:eastAsia="仿宋_GB2312" w:cs="仿宋_GB2312"/>
          <w:kern w:val="0"/>
          <w:sz w:val="32"/>
          <w:szCs w:val="32"/>
          <w:lang w:eastAsia="zh-CN"/>
        </w:rPr>
        <w:t>盐业</w:t>
      </w:r>
      <w:r>
        <w:rPr>
          <w:rFonts w:hint="eastAsia" w:ascii="仿宋_GB2312" w:hAnsi="仿宋_GB2312" w:eastAsia="仿宋_GB2312" w:cs="仿宋_GB2312"/>
          <w:kern w:val="0"/>
          <w:sz w:val="32"/>
          <w:szCs w:val="32"/>
        </w:rPr>
        <w:t>行政执法实际，制定本制度。</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第二条（适用范围）</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西藏自治区</w:t>
      </w:r>
      <w:r>
        <w:rPr>
          <w:rFonts w:hint="eastAsia" w:ascii="仿宋_GB2312" w:hAnsi="仿宋_GB2312" w:eastAsia="仿宋_GB2312" w:cs="仿宋_GB2312"/>
          <w:kern w:val="0"/>
          <w:sz w:val="32"/>
          <w:szCs w:val="32"/>
          <w:lang w:eastAsia="zh-CN"/>
        </w:rPr>
        <w:t>盐业主管部门</w:t>
      </w:r>
      <w:r>
        <w:rPr>
          <w:rFonts w:hint="eastAsia" w:ascii="仿宋_GB2312" w:hAnsi="仿宋_GB2312" w:eastAsia="仿宋_GB2312" w:cs="仿宋_GB2312"/>
          <w:kern w:val="0"/>
          <w:sz w:val="32"/>
          <w:szCs w:val="32"/>
        </w:rPr>
        <w:t>（以下</w:t>
      </w:r>
      <w:r>
        <w:rPr>
          <w:rFonts w:hint="eastAsia" w:ascii="仿宋_GB2312" w:hAnsi="仿宋_GB2312" w:eastAsia="仿宋_GB2312" w:cs="仿宋_GB2312"/>
          <w:kern w:val="0"/>
          <w:sz w:val="32"/>
          <w:szCs w:val="32"/>
          <w:lang w:eastAsia="zh-CN"/>
        </w:rPr>
        <w:t>统称盐业主管部门</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适用盐业</w:t>
      </w:r>
      <w:r>
        <w:rPr>
          <w:rFonts w:hint="eastAsia" w:ascii="仿宋_GB2312" w:hAnsi="仿宋_GB2312" w:eastAsia="仿宋_GB2312" w:cs="仿宋_GB2312"/>
          <w:kern w:val="0"/>
          <w:sz w:val="32"/>
          <w:szCs w:val="32"/>
        </w:rPr>
        <w:t>行政处罚自由裁量权，应当遵循本制度。</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第三条（规范内容）</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本制度所规范的</w:t>
      </w:r>
      <w:r>
        <w:rPr>
          <w:rFonts w:hint="eastAsia" w:ascii="仿宋_GB2312" w:hAnsi="仿宋_GB2312" w:eastAsia="仿宋_GB2312" w:cs="仿宋_GB2312"/>
          <w:kern w:val="0"/>
          <w:sz w:val="32"/>
          <w:szCs w:val="32"/>
          <w:lang w:eastAsia="zh-CN"/>
        </w:rPr>
        <w:t>盐业</w:t>
      </w:r>
      <w:r>
        <w:rPr>
          <w:rFonts w:hint="eastAsia" w:ascii="仿宋_GB2312" w:hAnsi="仿宋_GB2312" w:eastAsia="仿宋_GB2312" w:cs="仿宋_GB2312"/>
          <w:kern w:val="0"/>
          <w:sz w:val="32"/>
          <w:szCs w:val="32"/>
        </w:rPr>
        <w:t>行政处罚自由裁量权，是指</w:t>
      </w:r>
      <w:r>
        <w:rPr>
          <w:rFonts w:hint="eastAsia" w:ascii="仿宋_GB2312" w:hAnsi="仿宋_GB2312" w:eastAsia="仿宋_GB2312" w:cs="仿宋_GB2312"/>
          <w:kern w:val="0"/>
          <w:sz w:val="32"/>
          <w:szCs w:val="32"/>
          <w:lang w:eastAsia="zh-CN"/>
        </w:rPr>
        <w:t>盐业主管部门</w:t>
      </w:r>
      <w:r>
        <w:rPr>
          <w:rFonts w:hint="eastAsia" w:ascii="仿宋_GB2312" w:hAnsi="仿宋_GB2312" w:eastAsia="仿宋_GB2312" w:cs="仿宋_GB2312"/>
          <w:kern w:val="0"/>
          <w:sz w:val="32"/>
          <w:szCs w:val="32"/>
        </w:rPr>
        <w:t>在依法实施行政处罚时，根据法律、法规、规章的规定，结合违法行为的事实、性质、情节、社会危害程度等因素，对违法行为是否给予行政处罚、给予何种行政处罚和给予何种幅度行政处罚进行裁量，并合理地作出行政处罚决定的权限。</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第四条（法律适用性） 本制度</w:t>
      </w:r>
      <w:r>
        <w:rPr>
          <w:rFonts w:hint="eastAsia" w:ascii="仿宋_GB2312" w:hAnsi="仿宋_GB2312" w:eastAsia="仿宋_GB2312" w:cs="仿宋_GB2312"/>
          <w:kern w:val="0"/>
          <w:sz w:val="32"/>
          <w:szCs w:val="32"/>
          <w:lang w:eastAsia="zh-CN"/>
        </w:rPr>
        <w:t>适用于盐业主管部门</w:t>
      </w:r>
      <w:r>
        <w:rPr>
          <w:rFonts w:hint="eastAsia" w:ascii="仿宋_GB2312" w:hAnsi="仿宋_GB2312" w:eastAsia="仿宋_GB2312" w:cs="仿宋_GB2312"/>
          <w:kern w:val="0"/>
          <w:sz w:val="32"/>
          <w:szCs w:val="32"/>
        </w:rPr>
        <w:t>执法人员在</w:t>
      </w:r>
      <w:r>
        <w:rPr>
          <w:rFonts w:hint="eastAsia" w:ascii="仿宋_GB2312" w:hAnsi="仿宋_GB2312" w:eastAsia="仿宋_GB2312" w:cs="仿宋_GB2312"/>
          <w:kern w:val="0"/>
          <w:sz w:val="32"/>
          <w:szCs w:val="32"/>
          <w:lang w:eastAsia="zh-CN"/>
        </w:rPr>
        <w:t>履行法定</w:t>
      </w:r>
      <w:r>
        <w:rPr>
          <w:rFonts w:hint="eastAsia" w:ascii="仿宋_GB2312" w:hAnsi="仿宋_GB2312" w:eastAsia="仿宋_GB2312" w:cs="仿宋_GB2312"/>
          <w:kern w:val="0"/>
          <w:sz w:val="32"/>
          <w:szCs w:val="32"/>
        </w:rPr>
        <w:t>职能和执法</w:t>
      </w:r>
      <w:r>
        <w:rPr>
          <w:rFonts w:hint="eastAsia" w:ascii="仿宋_GB2312" w:hAnsi="仿宋_GB2312" w:eastAsia="仿宋_GB2312" w:cs="仿宋_GB2312"/>
          <w:kern w:val="0"/>
          <w:sz w:val="32"/>
          <w:szCs w:val="32"/>
          <w:lang w:eastAsia="zh-CN"/>
        </w:rPr>
        <w:t>管辖</w:t>
      </w:r>
      <w:r>
        <w:rPr>
          <w:rFonts w:hint="eastAsia" w:ascii="仿宋_GB2312" w:hAnsi="仿宋_GB2312" w:eastAsia="仿宋_GB2312" w:cs="仿宋_GB2312"/>
          <w:kern w:val="0"/>
          <w:sz w:val="32"/>
          <w:szCs w:val="32"/>
        </w:rPr>
        <w:t>范围内实施行政处罚行为，引用</w:t>
      </w:r>
      <w:r>
        <w:rPr>
          <w:rFonts w:hint="eastAsia" w:ascii="仿宋_GB2312" w:hAnsi="仿宋_GB2312" w:eastAsia="仿宋_GB2312" w:cs="仿宋_GB2312"/>
          <w:kern w:val="0"/>
          <w:sz w:val="32"/>
          <w:szCs w:val="32"/>
          <w:lang w:eastAsia="zh-CN"/>
        </w:rPr>
        <w:t>应在行政执法文书中载明</w:t>
      </w:r>
      <w:r>
        <w:rPr>
          <w:rFonts w:hint="eastAsia" w:ascii="仿宋_GB2312" w:hAnsi="仿宋_GB2312" w:eastAsia="仿宋_GB2312" w:cs="仿宋_GB2312"/>
          <w:kern w:val="0"/>
          <w:sz w:val="32"/>
          <w:szCs w:val="32"/>
        </w:rPr>
        <w:t>，如</w:t>
      </w:r>
      <w:r>
        <w:rPr>
          <w:rFonts w:hint="eastAsia" w:ascii="仿宋_GB2312" w:hAnsi="仿宋_GB2312" w:eastAsia="仿宋_GB2312" w:cs="仿宋_GB2312"/>
          <w:kern w:val="0"/>
          <w:sz w:val="32"/>
          <w:szCs w:val="32"/>
          <w:lang w:eastAsia="zh-CN"/>
        </w:rPr>
        <w:t>上位</w:t>
      </w:r>
      <w:r>
        <w:rPr>
          <w:rFonts w:hint="eastAsia" w:ascii="仿宋_GB2312" w:hAnsi="仿宋_GB2312" w:eastAsia="仿宋_GB2312" w:cs="仿宋_GB2312"/>
          <w:kern w:val="0"/>
          <w:sz w:val="32"/>
          <w:szCs w:val="32"/>
        </w:rPr>
        <w:t>法律、法规、规章</w:t>
      </w:r>
      <w:r>
        <w:rPr>
          <w:rFonts w:hint="eastAsia" w:ascii="仿宋_GB2312" w:hAnsi="仿宋_GB2312" w:eastAsia="仿宋_GB2312" w:cs="仿宋_GB2312"/>
          <w:kern w:val="0"/>
          <w:sz w:val="32"/>
          <w:szCs w:val="32"/>
          <w:lang w:eastAsia="zh-CN"/>
        </w:rPr>
        <w:t>修订、变更</w:t>
      </w:r>
      <w:r>
        <w:rPr>
          <w:rFonts w:hint="eastAsia" w:ascii="仿宋_GB2312" w:hAnsi="仿宋_GB2312" w:eastAsia="仿宋_GB2312" w:cs="仿宋_GB2312"/>
          <w:kern w:val="0"/>
          <w:sz w:val="32"/>
          <w:szCs w:val="32"/>
        </w:rPr>
        <w:t>，应当</w:t>
      </w:r>
      <w:r>
        <w:rPr>
          <w:rFonts w:hint="eastAsia" w:ascii="仿宋_GB2312" w:hAnsi="仿宋_GB2312" w:eastAsia="仿宋_GB2312" w:cs="仿宋_GB2312"/>
          <w:kern w:val="0"/>
          <w:sz w:val="32"/>
          <w:szCs w:val="32"/>
          <w:lang w:eastAsia="zh-CN"/>
        </w:rPr>
        <w:t>及时修订</w:t>
      </w:r>
      <w:r>
        <w:rPr>
          <w:rFonts w:hint="eastAsia" w:ascii="仿宋_GB2312" w:hAnsi="仿宋_GB2312" w:eastAsia="仿宋_GB2312" w:cs="仿宋_GB2312"/>
          <w:kern w:val="0"/>
          <w:sz w:val="32"/>
          <w:szCs w:val="32"/>
        </w:rPr>
        <w:t>。</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第五条（不予</w:t>
      </w:r>
      <w:r>
        <w:rPr>
          <w:rFonts w:hint="eastAsia" w:ascii="仿宋_GB2312" w:hAnsi="仿宋_GB2312" w:eastAsia="仿宋_GB2312" w:cs="仿宋_GB2312"/>
          <w:kern w:val="0"/>
          <w:sz w:val="32"/>
          <w:szCs w:val="32"/>
          <w:lang w:eastAsia="zh-CN"/>
        </w:rPr>
        <w:t>或免予</w:t>
      </w:r>
      <w:r>
        <w:rPr>
          <w:rFonts w:hint="eastAsia" w:ascii="仿宋_GB2312" w:hAnsi="仿宋_GB2312" w:eastAsia="仿宋_GB2312" w:cs="仿宋_GB2312"/>
          <w:kern w:val="0"/>
          <w:sz w:val="32"/>
          <w:szCs w:val="32"/>
        </w:rPr>
        <w:t>行政处罚情形） 当事人有以下情形之一的，不予行政处罚：</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（一）非食盐定点生产企业生产食盐、非食盐定点批发企业经营食盐批发业务，首次违法且尚未获得违法生产经营金额；</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（二）食盐定点生产企业、非食用盐生产企业建立的生产销售记录不全，食盐定点批发企业建立的釆购销售记录不全，属首次违法，且能及时补齐的；</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（三）食盐定点批发企业从除食盐定点生产企业、其他食盐定点批发企业以外的单位或者个人购进食盐数量在500公斤以下的，食盐零售单位从食盐定点批发企业以外的单位或者个人购进食盐数量在20公斤以下的；</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）食盐定点批发企业超出国家规定的范围（许可证书上明确的经营范围）销售食盐数量在500公斤以下</w:t>
      </w:r>
      <w:r>
        <w:rPr>
          <w:rFonts w:hint="eastAsia" w:ascii="仿宋_GB2312" w:hAnsi="仿宋_GB2312" w:eastAsia="仿宋_GB2312" w:cs="仿宋_GB2312"/>
          <w:kern w:val="0"/>
          <w:sz w:val="32"/>
          <w:szCs w:val="32"/>
          <w:lang w:eastAsia="zh-CN"/>
        </w:rPr>
        <w:t>的</w:t>
      </w:r>
      <w:r>
        <w:rPr>
          <w:rFonts w:hint="eastAsia" w:ascii="仿宋_GB2312" w:hAnsi="仿宋_GB2312" w:eastAsia="仿宋_GB2312" w:cs="仿宋_GB2312"/>
          <w:kern w:val="0"/>
          <w:sz w:val="32"/>
          <w:szCs w:val="32"/>
        </w:rPr>
        <w:t>；</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）食盐定点生产企业、食盐定点批发企业违反《食盐专营办法》第三十一条，违规聘用还在行业禁入期内相关人员，属首次违法且能主动纠正错误的；</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对当事人的违法行为依法</w:t>
      </w:r>
      <w:r>
        <w:rPr>
          <w:rFonts w:hint="eastAsia" w:ascii="仿宋_GB2312" w:hAnsi="仿宋_GB2312" w:eastAsia="仿宋_GB2312" w:cs="仿宋_GB2312"/>
          <w:kern w:val="0"/>
          <w:sz w:val="32"/>
          <w:szCs w:val="32"/>
        </w:rPr>
        <w:t>不予行政处罚</w:t>
      </w:r>
      <w:r>
        <w:rPr>
          <w:rFonts w:hint="eastAsia" w:ascii="仿宋_GB2312" w:hAnsi="仿宋_GB2312" w:eastAsia="仿宋_GB2312" w:cs="仿宋_GB2312"/>
          <w:kern w:val="0"/>
          <w:sz w:val="32"/>
          <w:szCs w:val="32"/>
          <w:lang w:eastAsia="zh-CN"/>
        </w:rPr>
        <w:t>的，盐业主管部门应当予以取缔、责令改正、没收违法所得，对当事人进行批评教育。</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第六条（从轻处罚） 食盐在包装上的标识不全或未按规定在包装上作出标识，非食用盐的包装、标识未明显区别于食盐，且生产或卖出数量在100公斤以下的</w:t>
      </w:r>
      <w:r>
        <w:rPr>
          <w:rFonts w:hint="eastAsia" w:ascii="仿宋_GB2312" w:hAnsi="仿宋_GB2312" w:eastAsia="仿宋_GB2312" w:cs="仿宋_GB2312"/>
          <w:kern w:val="0"/>
          <w:sz w:val="32"/>
          <w:szCs w:val="32"/>
          <w:lang w:eastAsia="zh-CN"/>
        </w:rPr>
        <w:t>，依法</w:t>
      </w:r>
      <w:r>
        <w:rPr>
          <w:rFonts w:hint="eastAsia" w:ascii="仿宋_GB2312" w:hAnsi="仿宋_GB2312" w:eastAsia="仿宋_GB2312" w:cs="仿宋_GB2312"/>
          <w:kern w:val="0"/>
          <w:sz w:val="32"/>
          <w:szCs w:val="32"/>
        </w:rPr>
        <w:t>从轻处罚</w:t>
      </w:r>
      <w:r>
        <w:rPr>
          <w:rFonts w:hint="eastAsia" w:ascii="仿宋_GB2312" w:hAnsi="仿宋_GB2312" w:eastAsia="仿宋_GB2312" w:cs="仿宋_GB2312"/>
          <w:kern w:val="0"/>
          <w:sz w:val="32"/>
          <w:szCs w:val="32"/>
          <w:lang w:eastAsia="zh-CN"/>
        </w:rPr>
        <w:t>。</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w:t>
      </w:r>
      <w:r>
        <w:rPr>
          <w:rFonts w:hint="eastAsia" w:ascii="仿宋_GB2312" w:hAnsi="仿宋_GB2312" w:eastAsia="仿宋_GB2312" w:cs="仿宋_GB2312"/>
          <w:kern w:val="0"/>
          <w:sz w:val="32"/>
          <w:szCs w:val="32"/>
          <w:lang w:eastAsia="zh-CN"/>
        </w:rPr>
        <w:t>七</w:t>
      </w:r>
      <w:r>
        <w:rPr>
          <w:rFonts w:hint="eastAsia" w:ascii="仿宋_GB2312" w:hAnsi="仿宋_GB2312" w:eastAsia="仿宋_GB2312" w:cs="仿宋_GB2312"/>
          <w:kern w:val="0"/>
          <w:sz w:val="32"/>
          <w:szCs w:val="32"/>
        </w:rPr>
        <w:t>条（从</w:t>
      </w:r>
      <w:r>
        <w:rPr>
          <w:rFonts w:hint="eastAsia" w:ascii="仿宋_GB2312" w:hAnsi="仿宋_GB2312" w:eastAsia="仿宋_GB2312" w:cs="仿宋_GB2312"/>
          <w:kern w:val="0"/>
          <w:sz w:val="32"/>
          <w:szCs w:val="32"/>
          <w:lang w:eastAsia="zh-CN"/>
        </w:rPr>
        <w:t>重</w:t>
      </w:r>
      <w:r>
        <w:rPr>
          <w:rFonts w:hint="eastAsia" w:ascii="仿宋_GB2312" w:hAnsi="仿宋_GB2312" w:eastAsia="仿宋_GB2312" w:cs="仿宋_GB2312"/>
          <w:kern w:val="0"/>
          <w:sz w:val="32"/>
          <w:szCs w:val="32"/>
        </w:rPr>
        <w:t>处罚） 当事人有以下情形之一的，应当从</w:t>
      </w:r>
      <w:r>
        <w:rPr>
          <w:rFonts w:hint="eastAsia" w:ascii="仿宋_GB2312" w:hAnsi="仿宋_GB2312" w:eastAsia="仿宋_GB2312" w:cs="仿宋_GB2312"/>
          <w:kern w:val="0"/>
          <w:sz w:val="32"/>
          <w:szCs w:val="32"/>
          <w:lang w:eastAsia="zh-CN"/>
        </w:rPr>
        <w:t>重</w:t>
      </w:r>
      <w:r>
        <w:rPr>
          <w:rFonts w:hint="eastAsia" w:ascii="仿宋_GB2312" w:hAnsi="仿宋_GB2312" w:eastAsia="仿宋_GB2312" w:cs="仿宋_GB2312"/>
          <w:kern w:val="0"/>
          <w:sz w:val="32"/>
          <w:szCs w:val="32"/>
        </w:rPr>
        <w:t>处罚：</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（一）非食盐定点生产企业生产食盐、非食盐定点批发企业经营食盐批发业务，违法生产经营货值金额在1万元以上的；</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（二）盐定点生产企业、非食用盐生产企业不能提供2年内生产销售记录，食盐定点批发企业不能提供2年内釆购销售记录的；</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食盐定点批发企业超出国家规定的范围（许可证书上明确的经营范围）销售食盐数量在20000公斤以上的</w:t>
      </w:r>
      <w:r>
        <w:rPr>
          <w:rFonts w:hint="eastAsia" w:ascii="仿宋_GB2312" w:hAnsi="仿宋_GB2312" w:eastAsia="仿宋_GB2312" w:cs="仿宋_GB2312"/>
          <w:kern w:val="0"/>
          <w:sz w:val="32"/>
          <w:szCs w:val="32"/>
        </w:rPr>
        <w:t>；</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（四）食盐定点批发企业将非食用盐作为食盐销售，数量在500公斤以上的；</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食盐定点批发企业从除食盐定点生产企业、其他食盐定点批发企业以外的单位或者个人购进食盐数量在10000公斤以上的，食盐零售单位从食盐定点批发企业以外的单位或者个人购进食盐数量在100公斤以上的；</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（六）食盐在包装上的标识不全或未按规定在包装上作出标识，非食用盐的包装、标识未明显区别于食盐，且生产或卖出数量在1000公斤以上的；</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七</w:t>
      </w:r>
      <w:r>
        <w:rPr>
          <w:rFonts w:hint="eastAsia" w:ascii="仿宋_GB2312" w:hAnsi="仿宋_GB2312" w:eastAsia="仿宋_GB2312" w:cs="仿宋_GB2312"/>
          <w:kern w:val="0"/>
          <w:sz w:val="32"/>
          <w:szCs w:val="32"/>
        </w:rPr>
        <w:t>）食盐定点生产企业、食盐定点批发企业违反《食盐专营办法》第三十一条，违规聘用还在行业禁入期内相关人员，由盐业主管部门责令改正后拒不改正的</w:t>
      </w:r>
      <w:r>
        <w:rPr>
          <w:rFonts w:hint="eastAsia" w:ascii="仿宋_GB2312" w:hAnsi="仿宋_GB2312" w:eastAsia="仿宋_GB2312" w:cs="仿宋_GB2312"/>
          <w:kern w:val="0"/>
          <w:sz w:val="32"/>
          <w:szCs w:val="32"/>
          <w:lang w:eastAsia="zh-CN"/>
        </w:rPr>
        <w:t>。</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w:t>
      </w:r>
      <w:r>
        <w:rPr>
          <w:rFonts w:hint="eastAsia" w:ascii="仿宋_GB2312" w:hAnsi="仿宋_GB2312" w:eastAsia="仿宋_GB2312" w:cs="仿宋_GB2312"/>
          <w:kern w:val="0"/>
          <w:sz w:val="32"/>
          <w:szCs w:val="32"/>
          <w:lang w:eastAsia="zh-CN"/>
        </w:rPr>
        <w:t>八</w:t>
      </w:r>
      <w:r>
        <w:rPr>
          <w:rFonts w:hint="eastAsia" w:ascii="仿宋_GB2312" w:hAnsi="仿宋_GB2312" w:eastAsia="仿宋_GB2312" w:cs="仿宋_GB2312"/>
          <w:kern w:val="0"/>
          <w:sz w:val="32"/>
          <w:szCs w:val="32"/>
        </w:rPr>
        <w:t xml:space="preserve">条（行政处罚实施要求） </w:t>
      </w:r>
      <w:r>
        <w:rPr>
          <w:rFonts w:hint="eastAsia" w:ascii="仿宋_GB2312" w:hAnsi="仿宋_GB2312" w:eastAsia="仿宋_GB2312" w:cs="仿宋_GB2312"/>
          <w:kern w:val="0"/>
          <w:sz w:val="32"/>
          <w:szCs w:val="32"/>
          <w:lang w:eastAsia="zh-CN"/>
        </w:rPr>
        <w:t>盐业主管部门</w:t>
      </w:r>
      <w:r>
        <w:rPr>
          <w:rFonts w:hint="eastAsia" w:ascii="仿宋_GB2312" w:hAnsi="仿宋_GB2312" w:eastAsia="仿宋_GB2312" w:cs="仿宋_GB2312"/>
          <w:kern w:val="0"/>
          <w:sz w:val="32"/>
          <w:szCs w:val="32"/>
        </w:rPr>
        <w:t>在作出行政处罚决定之前，应当告知当事人作出行政处罚决定的事实、理由及依据，并告知当事人依法享有陈述和申辩的权利。</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w:t>
      </w:r>
      <w:r>
        <w:rPr>
          <w:rFonts w:hint="eastAsia" w:ascii="仿宋_GB2312" w:hAnsi="仿宋_GB2312" w:eastAsia="仿宋_GB2312" w:cs="仿宋_GB2312"/>
          <w:kern w:val="0"/>
          <w:sz w:val="32"/>
          <w:szCs w:val="32"/>
          <w:lang w:eastAsia="zh-CN"/>
        </w:rPr>
        <w:t>九</w:t>
      </w:r>
      <w:r>
        <w:rPr>
          <w:rFonts w:hint="eastAsia" w:ascii="仿宋_GB2312" w:hAnsi="仿宋_GB2312" w:eastAsia="仿宋_GB2312" w:cs="仿宋_GB2312"/>
          <w:kern w:val="0"/>
          <w:sz w:val="32"/>
          <w:szCs w:val="32"/>
        </w:rPr>
        <w:t>条（行政处罚实施要求） 当事人有权进行陈述和申辩。</w:t>
      </w:r>
      <w:r>
        <w:rPr>
          <w:rFonts w:hint="eastAsia" w:ascii="仿宋_GB2312" w:hAnsi="仿宋_GB2312" w:eastAsia="仿宋_GB2312" w:cs="仿宋_GB2312"/>
          <w:kern w:val="0"/>
          <w:sz w:val="32"/>
          <w:szCs w:val="32"/>
          <w:lang w:eastAsia="zh-CN"/>
        </w:rPr>
        <w:t>盐业主管部门</w:t>
      </w:r>
      <w:r>
        <w:rPr>
          <w:rFonts w:hint="eastAsia" w:ascii="仿宋_GB2312" w:hAnsi="仿宋_GB2312" w:eastAsia="仿宋_GB2312" w:cs="仿宋_GB2312"/>
          <w:kern w:val="0"/>
          <w:sz w:val="32"/>
          <w:szCs w:val="32"/>
        </w:rPr>
        <w:t>必须充分听取当事人的意见，对当事人提出的事实、理由和证据，应当进行复核；当事人提出的事实、理由或者证据成立的，</w:t>
      </w:r>
      <w:r>
        <w:rPr>
          <w:rFonts w:hint="eastAsia" w:ascii="仿宋_GB2312" w:hAnsi="仿宋_GB2312" w:eastAsia="仿宋_GB2312" w:cs="仿宋_GB2312"/>
          <w:kern w:val="0"/>
          <w:sz w:val="32"/>
          <w:szCs w:val="32"/>
          <w:lang w:eastAsia="zh-CN"/>
        </w:rPr>
        <w:t>盐业主管部门</w:t>
      </w:r>
      <w:r>
        <w:rPr>
          <w:rFonts w:hint="eastAsia" w:ascii="仿宋_GB2312" w:hAnsi="仿宋_GB2312" w:eastAsia="仿宋_GB2312" w:cs="仿宋_GB2312"/>
          <w:kern w:val="0"/>
          <w:sz w:val="32"/>
          <w:szCs w:val="32"/>
        </w:rPr>
        <w:t>应当采纳。</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盐业主管部门</w:t>
      </w:r>
      <w:r>
        <w:rPr>
          <w:rFonts w:hint="eastAsia" w:ascii="仿宋_GB2312" w:hAnsi="仿宋_GB2312" w:eastAsia="仿宋_GB2312" w:cs="仿宋_GB2312"/>
          <w:kern w:val="0"/>
          <w:sz w:val="32"/>
          <w:szCs w:val="32"/>
        </w:rPr>
        <w:t>不得因当事人申辩而加重处罚。</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w:t>
      </w:r>
      <w:r>
        <w:rPr>
          <w:rFonts w:hint="eastAsia" w:ascii="仿宋_GB2312" w:hAnsi="仿宋_GB2312" w:eastAsia="仿宋_GB2312" w:cs="仿宋_GB2312"/>
          <w:kern w:val="0"/>
          <w:sz w:val="32"/>
          <w:szCs w:val="32"/>
          <w:lang w:eastAsia="zh-CN"/>
        </w:rPr>
        <w:t>十</w:t>
      </w:r>
      <w:r>
        <w:rPr>
          <w:rFonts w:hint="eastAsia" w:ascii="仿宋_GB2312" w:hAnsi="仿宋_GB2312" w:eastAsia="仿宋_GB2312" w:cs="仿宋_GB2312"/>
          <w:kern w:val="0"/>
          <w:sz w:val="32"/>
          <w:szCs w:val="32"/>
        </w:rPr>
        <w:t>条（行政处罚实施要求）</w:t>
      </w:r>
      <w:r>
        <w:rPr>
          <w:rFonts w:hint="eastAsia" w:ascii="仿宋_GB2312" w:hAnsi="仿宋_GB2312" w:eastAsia="仿宋_GB2312" w:cs="仿宋_GB2312"/>
          <w:color w:val="333333"/>
          <w:kern w:val="0"/>
          <w:sz w:val="32"/>
          <w:szCs w:val="32"/>
        </w:rPr>
        <w:t xml:space="preserve"> </w:t>
      </w:r>
      <w:r>
        <w:rPr>
          <w:rFonts w:hint="eastAsia" w:ascii="仿宋_GB2312" w:hAnsi="仿宋_GB2312" w:eastAsia="仿宋_GB2312" w:cs="仿宋_GB2312"/>
          <w:kern w:val="0"/>
          <w:sz w:val="32"/>
          <w:szCs w:val="32"/>
        </w:rPr>
        <w:t>行政处罚决定应当对违法行为的事实、性质、情节、社会危害程度等因素及最终选择的处罚种类、幅度等情况作出详细说明，并有相关依据。行使行政处罚自由裁量权拟不予处罚、减轻、从轻处罚的，应当在行政处罚告知书中告知拟不予处罚或者减轻、从轻处罚的事实、理由和依据，并送达当事人。公民、法人或者其他组织依法要求听证的，应当依法组织听证。</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第十</w:t>
      </w:r>
      <w:r>
        <w:rPr>
          <w:rFonts w:hint="eastAsia" w:ascii="仿宋_GB2312" w:hAnsi="仿宋_GB2312" w:eastAsia="仿宋_GB2312" w:cs="仿宋_GB2312"/>
          <w:kern w:val="0"/>
          <w:sz w:val="32"/>
          <w:szCs w:val="32"/>
          <w:lang w:eastAsia="zh-CN"/>
        </w:rPr>
        <w:t>一</w:t>
      </w:r>
      <w:r>
        <w:rPr>
          <w:rFonts w:hint="eastAsia" w:ascii="仿宋_GB2312" w:hAnsi="仿宋_GB2312" w:eastAsia="仿宋_GB2312" w:cs="仿宋_GB2312"/>
          <w:kern w:val="0"/>
          <w:sz w:val="32"/>
          <w:szCs w:val="32"/>
        </w:rPr>
        <w:t>条</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管理相对人权利</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当事人对</w:t>
      </w:r>
      <w:r>
        <w:rPr>
          <w:rFonts w:hint="eastAsia" w:ascii="仿宋_GB2312" w:hAnsi="仿宋_GB2312" w:eastAsia="仿宋_GB2312" w:cs="仿宋_GB2312"/>
          <w:kern w:val="0"/>
          <w:sz w:val="32"/>
          <w:szCs w:val="32"/>
          <w:lang w:eastAsia="zh-CN"/>
        </w:rPr>
        <w:t>盐业主管部门</w:t>
      </w:r>
      <w:r>
        <w:rPr>
          <w:rFonts w:hint="eastAsia" w:ascii="仿宋_GB2312" w:hAnsi="仿宋_GB2312" w:eastAsia="仿宋_GB2312" w:cs="仿宋_GB2312"/>
          <w:kern w:val="0"/>
          <w:sz w:val="32"/>
          <w:szCs w:val="32"/>
        </w:rPr>
        <w:t>实施行政管理、作出行政处罚决定的行为有权依法申请行政复议或者提起行政诉讼；其合法权益因处罚行为受到损害的，有权依法要求赔偿。</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第十</w:t>
      </w:r>
      <w:r>
        <w:rPr>
          <w:rFonts w:hint="eastAsia" w:ascii="仿宋_GB2312" w:hAnsi="仿宋_GB2312" w:eastAsia="仿宋_GB2312" w:cs="仿宋_GB2312"/>
          <w:kern w:val="0"/>
          <w:sz w:val="32"/>
          <w:szCs w:val="32"/>
          <w:lang w:eastAsia="zh-CN"/>
        </w:rPr>
        <w:t>二</w:t>
      </w:r>
      <w:r>
        <w:rPr>
          <w:rFonts w:hint="eastAsia" w:ascii="仿宋_GB2312" w:hAnsi="仿宋_GB2312" w:eastAsia="仿宋_GB2312" w:cs="仿宋_GB2312"/>
          <w:kern w:val="0"/>
          <w:sz w:val="32"/>
          <w:szCs w:val="32"/>
        </w:rPr>
        <w:t xml:space="preserve">条（回避原则） </w:t>
      </w:r>
      <w:r>
        <w:rPr>
          <w:rFonts w:hint="eastAsia" w:ascii="仿宋_GB2312" w:hAnsi="仿宋_GB2312" w:eastAsia="仿宋_GB2312" w:cs="仿宋_GB2312"/>
          <w:kern w:val="0"/>
          <w:sz w:val="32"/>
          <w:szCs w:val="32"/>
          <w:lang w:eastAsia="zh-CN"/>
        </w:rPr>
        <w:t>食盐</w:t>
      </w:r>
      <w:r>
        <w:rPr>
          <w:rFonts w:hint="eastAsia" w:ascii="仿宋_GB2312" w:hAnsi="仿宋_GB2312" w:eastAsia="仿宋_GB2312" w:cs="仿宋_GB2312"/>
          <w:kern w:val="0"/>
          <w:sz w:val="32"/>
          <w:szCs w:val="32"/>
        </w:rPr>
        <w:t>管理行政执法人员在实施行政处罚时，有以下情形之一的，应当回避：</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（一）与当事人有近亲关系（包括夫妻、直系血亲、三代以内旁系血亲以及近姻亲关系）的；</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（二）与当事人有直接利害关系，可能影响公正执法的；</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（三）其他法律法规规定应当回避的。</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第十</w:t>
      </w:r>
      <w:r>
        <w:rPr>
          <w:rFonts w:hint="eastAsia" w:ascii="仿宋_GB2312" w:hAnsi="仿宋_GB2312" w:eastAsia="仿宋_GB2312" w:cs="仿宋_GB2312"/>
          <w:kern w:val="0"/>
          <w:sz w:val="32"/>
          <w:szCs w:val="32"/>
          <w:lang w:eastAsia="zh-CN"/>
        </w:rPr>
        <w:t>三</w:t>
      </w:r>
      <w:r>
        <w:rPr>
          <w:rFonts w:hint="eastAsia" w:ascii="仿宋_GB2312" w:hAnsi="仿宋_GB2312" w:eastAsia="仿宋_GB2312" w:cs="仿宋_GB2312"/>
          <w:kern w:val="0"/>
          <w:sz w:val="32"/>
          <w:szCs w:val="32"/>
        </w:rPr>
        <w:t xml:space="preserve">条（重大行政处罚决定要求） </w:t>
      </w:r>
      <w:r>
        <w:rPr>
          <w:rFonts w:hint="eastAsia" w:ascii="仿宋_GB2312" w:hAnsi="仿宋_GB2312" w:eastAsia="仿宋_GB2312" w:cs="仿宋_GB2312"/>
          <w:kern w:val="0"/>
          <w:sz w:val="32"/>
          <w:szCs w:val="32"/>
          <w:lang w:eastAsia="zh-CN"/>
        </w:rPr>
        <w:t>盐业主管部门</w:t>
      </w:r>
      <w:r>
        <w:rPr>
          <w:rFonts w:hint="eastAsia" w:ascii="仿宋_GB2312" w:hAnsi="仿宋_GB2312" w:eastAsia="仿宋_GB2312" w:cs="仿宋_GB2312"/>
          <w:kern w:val="0"/>
          <w:sz w:val="32"/>
          <w:szCs w:val="32"/>
        </w:rPr>
        <w:t>作出重大行政处罚决定前，应当进行法制审核，并按照相关管理规定执行。</w:t>
      </w:r>
    </w:p>
    <w:p>
      <w:pPr>
        <w:widowControl/>
        <w:adjustRightInd w:val="0"/>
        <w:snapToGrid w:val="0"/>
        <w:spacing w:after="0"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第十</w:t>
      </w: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条（解释权） 本制度由西藏自治区经济和信息化厅负责解释。</w:t>
      </w:r>
    </w:p>
    <w:p>
      <w:pPr>
        <w:widowControl/>
        <w:adjustRightInd w:val="0"/>
        <w:snapToGrid w:val="0"/>
        <w:spacing w:after="0" w:line="520" w:lineRule="exact"/>
        <w:ind w:firstLine="640" w:firstLineChars="200"/>
        <w:jc w:val="both"/>
        <w:rPr>
          <w:rFonts w:ascii="Times New Roman" w:hAnsi="Times New Roman" w:eastAsia="方正仿宋_GBK" w:cs="Times New Roman"/>
          <w:kern w:val="0"/>
          <w:sz w:val="32"/>
          <w:szCs w:val="32"/>
        </w:rPr>
        <w:sectPr>
          <w:footerReference r:id="rId6" w:type="default"/>
          <w:pgSz w:w="11906" w:h="16838"/>
          <w:pgMar w:top="1440" w:right="1800" w:bottom="1440" w:left="1800" w:header="708" w:footer="708" w:gutter="0"/>
          <w:pgNumType w:fmt="numberInDash" w:start="1"/>
          <w:cols w:space="708" w:num="1"/>
          <w:docGrid w:linePitch="360" w:charSpace="0"/>
        </w:sectPr>
      </w:pPr>
      <w:r>
        <w:rPr>
          <w:rFonts w:hint="eastAsia" w:ascii="仿宋_GB2312" w:hAnsi="仿宋_GB2312" w:eastAsia="仿宋_GB2312" w:cs="仿宋_GB2312"/>
          <w:kern w:val="0"/>
          <w:sz w:val="32"/>
          <w:szCs w:val="32"/>
        </w:rPr>
        <w:t>第十</w:t>
      </w: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条（生效规定） 本制度自发文之日起施行。</w:t>
      </w:r>
    </w:p>
    <w:bookmarkEnd w:id="0"/>
    <w:p>
      <w:pPr>
        <w:spacing w:line="560" w:lineRule="exact"/>
        <w:jc w:val="left"/>
        <w:rPr>
          <w:rFonts w:hint="eastAsia"/>
        </w:rPr>
      </w:pPr>
    </w:p>
    <w:sectPr>
      <w:footerReference r:id="rId7" w:type="default"/>
      <w:pgSz w:w="11850" w:h="16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Tahoma">
    <w:altName w:val="DejaVu Sans"/>
    <w:panose1 w:val="020B0604030504040204"/>
    <w:charset w:val="00"/>
    <w:family w:val="swiss"/>
    <w:pitch w:val="default"/>
    <w:sig w:usb0="00000000" w:usb1="00000000" w:usb2="00000029" w:usb3="00000000" w:csb0="200101FF" w:csb1="2028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adjustRightInd/>
      <w:snapToGrid w:val="0"/>
      <w:spacing w:after="0"/>
      <w:jc w:val="center"/>
      <w:rPr>
        <w:rFonts w:ascii="Times New Roman" w:hAnsi="Times New Roman" w:eastAsia="宋体" w:cs="Times New Roman"/>
        <w:kern w:val="2"/>
        <w:sz w:val="21"/>
        <w:szCs w:val="21"/>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adjustRightInd/>
      <w:snapToGrid w:val="0"/>
      <w:spacing w:after="0"/>
      <w:jc w:val="center"/>
      <w:rPr>
        <w:rFonts w:ascii="Times New Roman" w:hAnsi="Times New Roman" w:eastAsia="宋体" w:cs="Times New Roman"/>
        <w:kern w:val="2"/>
        <w:sz w:val="21"/>
        <w:szCs w:val="21"/>
        <w:lang w:val="en-US" w:eastAsia="zh-CN" w:bidi="ar-SA"/>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left"/>
      <w:rPr>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wh4DHAIAACs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FsIeAxwCAAArBAAADgAAAAAAAAABACAAAAA1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tabs>
        <w:tab w:val="center" w:pos="4153"/>
        <w:tab w:val="right" w:pos="8306"/>
      </w:tabs>
      <w:adjustRightInd/>
      <w:snapToGrid w:val="0"/>
      <w:spacing w:after="0"/>
      <w:jc w:val="center"/>
      <w:rPr>
        <w:rFonts w:ascii="Calibri" w:hAnsi="Calibri" w:eastAsia="宋体" w:cs="Times New Roman"/>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D55ACD"/>
    <w:rsid w:val="01E900E4"/>
    <w:rsid w:val="02034FF5"/>
    <w:rsid w:val="037428E9"/>
    <w:rsid w:val="0565660C"/>
    <w:rsid w:val="06224287"/>
    <w:rsid w:val="0B683349"/>
    <w:rsid w:val="0BEC3267"/>
    <w:rsid w:val="0EB92FF2"/>
    <w:rsid w:val="10247112"/>
    <w:rsid w:val="13A02F80"/>
    <w:rsid w:val="186060B7"/>
    <w:rsid w:val="1B1335DA"/>
    <w:rsid w:val="1B2461AB"/>
    <w:rsid w:val="1C77462B"/>
    <w:rsid w:val="1DE662A3"/>
    <w:rsid w:val="1E764F2D"/>
    <w:rsid w:val="1F4736B8"/>
    <w:rsid w:val="1F6028C8"/>
    <w:rsid w:val="1FED2C12"/>
    <w:rsid w:val="20634845"/>
    <w:rsid w:val="23BF0F29"/>
    <w:rsid w:val="25FA0813"/>
    <w:rsid w:val="26D65318"/>
    <w:rsid w:val="2AFB5C85"/>
    <w:rsid w:val="2D0D2F59"/>
    <w:rsid w:val="31722AB0"/>
    <w:rsid w:val="318F08D0"/>
    <w:rsid w:val="34475D78"/>
    <w:rsid w:val="35D31660"/>
    <w:rsid w:val="360F1493"/>
    <w:rsid w:val="36D26EFD"/>
    <w:rsid w:val="376A2220"/>
    <w:rsid w:val="37AD3457"/>
    <w:rsid w:val="381430CB"/>
    <w:rsid w:val="383B004B"/>
    <w:rsid w:val="3C2D5D8D"/>
    <w:rsid w:val="3DC37807"/>
    <w:rsid w:val="3FAA6803"/>
    <w:rsid w:val="45997FC6"/>
    <w:rsid w:val="45A26091"/>
    <w:rsid w:val="46AC5369"/>
    <w:rsid w:val="477D3B0A"/>
    <w:rsid w:val="49DD4CFA"/>
    <w:rsid w:val="4A1E7B06"/>
    <w:rsid w:val="4AE54066"/>
    <w:rsid w:val="4C5C253D"/>
    <w:rsid w:val="4D11188F"/>
    <w:rsid w:val="4E154A93"/>
    <w:rsid w:val="4E54216E"/>
    <w:rsid w:val="504746F7"/>
    <w:rsid w:val="52880E3B"/>
    <w:rsid w:val="53490F68"/>
    <w:rsid w:val="53AE2AC3"/>
    <w:rsid w:val="54150CBC"/>
    <w:rsid w:val="55120C6A"/>
    <w:rsid w:val="56C20E89"/>
    <w:rsid w:val="5C3D1441"/>
    <w:rsid w:val="5DE81C2B"/>
    <w:rsid w:val="5EB77A67"/>
    <w:rsid w:val="61B2263F"/>
    <w:rsid w:val="62DC4766"/>
    <w:rsid w:val="648C3101"/>
    <w:rsid w:val="6884568D"/>
    <w:rsid w:val="69F632B3"/>
    <w:rsid w:val="6E4067C6"/>
    <w:rsid w:val="6F0B3358"/>
    <w:rsid w:val="705E2D42"/>
    <w:rsid w:val="74016BD4"/>
    <w:rsid w:val="748202A7"/>
    <w:rsid w:val="74A863C2"/>
    <w:rsid w:val="76300FA6"/>
    <w:rsid w:val="77DF9DCF"/>
    <w:rsid w:val="7B467E05"/>
    <w:rsid w:val="7BFFFA16"/>
    <w:rsid w:val="7CAA6A8B"/>
    <w:rsid w:val="7D4B7B75"/>
    <w:rsid w:val="7DCE60D1"/>
    <w:rsid w:val="7DDF26BB"/>
    <w:rsid w:val="BD657B7B"/>
    <w:rsid w:val="CBFEF7E6"/>
    <w:rsid w:val="E77F033F"/>
    <w:rsid w:val="EF37FB7A"/>
    <w:rsid w:val="F2FF5596"/>
    <w:rsid w:val="F9FDF66D"/>
    <w:rsid w:val="FEEFAC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link w:val="8"/>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alloon Text"/>
    <w:basedOn w:val="1"/>
    <w:link w:val="11"/>
    <w:qFormat/>
    <w:uiPriority w:val="0"/>
    <w:rPr>
      <w:kern w:val="2"/>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kern w:val="2"/>
      <w:sz w:val="18"/>
      <w:szCs w:val="18"/>
    </w:rPr>
  </w:style>
  <w:style w:type="paragraph" w:styleId="5">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8">
    <w:name w:val="Char Char Char Char"/>
    <w:basedOn w:val="1"/>
    <w:next w:val="1"/>
    <w:link w:val="7"/>
    <w:qFormat/>
    <w:uiPriority w:val="0"/>
    <w:pPr>
      <w:keepNext/>
      <w:keepLines/>
      <w:snapToGrid w:val="0"/>
      <w:spacing w:before="260" w:beforeLines="0" w:after="260" w:afterLines="0" w:line="360" w:lineRule="auto"/>
      <w:ind w:firstLine="200" w:firstLineChars="200"/>
      <w:outlineLvl w:val="2"/>
    </w:pPr>
  </w:style>
  <w:style w:type="character" w:styleId="9">
    <w:name w:val="page number"/>
    <w:basedOn w:val="7"/>
    <w:qFormat/>
    <w:uiPriority w:val="0"/>
  </w:style>
  <w:style w:type="character" w:customStyle="1" w:styleId="10">
    <w:name w:val="页眉 字符"/>
    <w:link w:val="4"/>
    <w:qFormat/>
    <w:uiPriority w:val="0"/>
    <w:rPr>
      <w:kern w:val="2"/>
      <w:sz w:val="18"/>
      <w:szCs w:val="18"/>
    </w:rPr>
  </w:style>
  <w:style w:type="character" w:customStyle="1" w:styleId="11">
    <w:name w:val="批注框文本 Char Char"/>
    <w:link w:val="2"/>
    <w:qFormat/>
    <w:uiPriority w:val="0"/>
    <w:rPr>
      <w:kern w:val="2"/>
      <w:sz w:val="18"/>
      <w:szCs w:val="18"/>
    </w:rPr>
  </w:style>
  <w:style w:type="paragraph" w:customStyle="1" w:styleId="12">
    <w:name w:val="正文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
    <w:name w:val="Char Char1 Char Char Char Char2"/>
    <w:basedOn w:val="1"/>
    <w:qFormat/>
    <w:uiPriority w:val="0"/>
  </w:style>
  <w:style w:type="paragraph" w:customStyle="1" w:styleId="14">
    <w:name w:val="p0"/>
    <w:basedOn w:val="1"/>
    <w:qFormat/>
    <w:uiPriority w:val="0"/>
    <w:pPr>
      <w:widowControl/>
      <w:snapToGrid w:val="0"/>
      <w:spacing w:after="200" w:afterLines="0"/>
      <w:jc w:val="left"/>
    </w:pPr>
    <w:rPr>
      <w:rFonts w:ascii="Tahoma" w:hAnsi="Tahoma" w:cs="Tahoma"/>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30</Pages>
  <Words>17998</Words>
  <Characters>18280</Characters>
  <Lines>126</Lines>
  <Paragraphs>35</Paragraphs>
  <TotalTime>14</TotalTime>
  <ScaleCrop>false</ScaleCrop>
  <LinksUpToDate>false</LinksUpToDate>
  <CharactersWithSpaces>18499</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2020-09-07T00:43:00Z</dcterms:created>
  <dc:creator>Lenovo</dc:creator>
  <cp:lastModifiedBy>casic</cp:lastModifiedBy>
  <cp:lastPrinted>2023-12-13T04:05:00Z</cp:lastPrinted>
  <dcterms:modified xsi:type="dcterms:W3CDTF">2023-12-27T12:42:04Z</dcterms:modified>
  <dc:title>西藏自治区无线电管理条例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8D2369D516A14A278BFE59350CEEA73A</vt:lpwstr>
  </property>
</Properties>
</file>